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6B8803">
      <w:pPr>
        <w:pStyle w:val="2"/>
        <w:bidi w:val="0"/>
        <w:jc w:val="center"/>
        <w:rPr>
          <w:sz w:val="40"/>
          <w:szCs w:val="40"/>
        </w:rPr>
      </w:pPr>
      <w:bookmarkStart w:id="0" w:name="_GoBack"/>
      <w:bookmarkEnd w:id="0"/>
      <w:r>
        <w:rPr>
          <w:sz w:val="40"/>
          <w:szCs w:val="40"/>
        </w:rPr>
        <w:t>基于</w:t>
      </w:r>
      <w:r>
        <w:rPr>
          <w:rFonts w:hint="eastAsia"/>
          <w:sz w:val="40"/>
          <w:szCs w:val="40"/>
          <w:lang w:val="en-US" w:eastAsia="zh-CN"/>
        </w:rPr>
        <w:t>我国</w:t>
      </w:r>
      <w:r>
        <w:rPr>
          <w:rFonts w:hint="eastAsia"/>
          <w:sz w:val="40"/>
          <w:szCs w:val="40"/>
        </w:rPr>
        <w:t>能源</w:t>
      </w:r>
      <w:r>
        <w:rPr>
          <w:sz w:val="40"/>
          <w:szCs w:val="40"/>
        </w:rPr>
        <w:t>数据的可视化设计与分析</w:t>
      </w:r>
    </w:p>
    <w:p w14:paraId="106F66A2">
      <w:pPr>
        <w:pStyle w:val="3"/>
        <w:numPr>
          <w:ilvl w:val="0"/>
          <w:numId w:val="1"/>
        </w:numPr>
        <w:bidi w:val="0"/>
      </w:pPr>
      <w:r>
        <w:t>作品简介</w:t>
      </w:r>
      <w:r>
        <w:rPr>
          <w:rFonts w:hint="eastAsia"/>
          <w:lang w:val="en-US" w:eastAsia="zh-CN"/>
        </w:rPr>
        <w:t>及分析目标</w:t>
      </w:r>
    </w:p>
    <w:p w14:paraId="2E4903CB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为应对气候变化威胁，把全球平均气温较工业化前水平升高控制在2 ℃之内，并为把升温控制在1.5 ℃之内而努力，2015年全球各国达成《巴黎协定》，开启了全球应对气候变化的新征程。</w:t>
      </w:r>
    </w:p>
    <w:p w14:paraId="2C3993E4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2020年9月22日，国家主席习近平在第七十五届联合国大会上宣布：中国将提高国家自主贡献力度，采取更加有力的政策和措施，二氧化碳排放力争于2030年前达到峰值，努力争取2060年前实现碳中和。同年12月12日在气候雄心峰会上进一步宣布：到2030年，中国单位国内生产总值二氧化碳排放将比2005年下降65%以上，非化石能源占一次能源消费比重将达到25%左右，风电、太阳能发电总装机容量将达到12×10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^</w:t>
      </w:r>
      <w:r>
        <w:rPr>
          <w:rFonts w:hint="eastAsia" w:ascii="宋体" w:hAnsi="宋体" w:eastAsia="宋体" w:cs="宋体"/>
          <w:sz w:val="24"/>
          <w:szCs w:val="24"/>
        </w:rPr>
        <w:t>8kW以上，在此背景下我国将会加速推动能源产业结构转型和结构调整，加快构建以新能源为主体的新型电力系统。</w:t>
      </w:r>
    </w:p>
    <w:p w14:paraId="735AC9E5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为实现“3060”双碳目标，关键是要厘清当前我国能源供给结构及碳排放家底，在能源供给方面，厘清当前我国能源供给结构及化石能源占一次能源消费比重；在能源碳排放方面，厘清我国年碳排放量、碳排放主要来源部门及终端各部门对碳排放的贡献量。</w:t>
      </w:r>
    </w:p>
    <w:p w14:paraId="3F43D064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本作品主要使用《中国能源统计年鉴2022》数据集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通过引入能流图与碳流图,对中国能源流动及相关碳排放过程进行准确描绘;并结合相关能源与碳排放政策,分析了中国目前能源供给、使用、消费和碳排放情况。在此基础上对能源绿色低碳转型进程及政策效果加以探讨。此外,还针对不同产业的能源消费结构进行归因分析;对于能源需求量大且碳排放高的产业,提出相关产业发展与能源结构调整政策建议,以支撑未来能源绿色低碳发展。</w:t>
      </w:r>
    </w:p>
    <w:p w14:paraId="47EF5135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分析目标：</w:t>
      </w:r>
    </w:p>
    <w:p w14:paraId="1741480F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（1）可视化呈现各地区能源生产情况；</w:t>
      </w:r>
    </w:p>
    <w:p w14:paraId="6E987771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（2）可视化呈现各产业能源消耗情况和总体碳排放趋势；</w:t>
      </w:r>
    </w:p>
    <w:p w14:paraId="19408B92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（3）探究能源供需关系和能源供需现状；</w:t>
      </w:r>
    </w:p>
    <w:p w14:paraId="09D666E0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（4）探寻能源发展和转型的趋势;</w:t>
      </w:r>
    </w:p>
    <w:p w14:paraId="77BAD530">
      <w:pPr>
        <w:pStyle w:val="3"/>
        <w:numPr>
          <w:ilvl w:val="0"/>
          <w:numId w:val="1"/>
        </w:numPr>
        <w:bidi w:val="0"/>
      </w:pPr>
      <w:r>
        <w:t>数据介绍</w:t>
      </w:r>
    </w:p>
    <w:p w14:paraId="4B95671F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1.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4322445</wp:posOffset>
            </wp:positionH>
            <wp:positionV relativeFrom="paragraph">
              <wp:posOffset>77470</wp:posOffset>
            </wp:positionV>
            <wp:extent cx="1374140" cy="1853565"/>
            <wp:effectExtent l="0" t="0" r="12700" b="20955"/>
            <wp:wrapThrough wrapText="bothSides">
              <wp:wrapPolygon>
                <wp:start x="0" y="0"/>
                <wp:lineTo x="0" y="21489"/>
                <wp:lineTo x="21321" y="21489"/>
                <wp:lineTo x="21321" y="0"/>
                <wp:lineTo x="0" y="0"/>
              </wp:wrapPolygon>
            </wp:wrapThrough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1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数据搜集</w:t>
      </w:r>
    </w:p>
    <w:p w14:paraId="7E692B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数据来源：中国知网《中国能源统计年鉴2022》</w:t>
      </w:r>
    </w:p>
    <w:p w14:paraId="3760BB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数据构成：</w:t>
      </w:r>
    </w:p>
    <w:p w14:paraId="30142A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（1）生产：</w:t>
      </w:r>
    </w:p>
    <w:p w14:paraId="077AC26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分地区原煤生产量、分地区原油生产量、分地区天然气生产量、分地区发电量、能源生产总量及构成。</w:t>
      </w:r>
    </w:p>
    <w:p w14:paraId="168F6A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（2）消费：</w:t>
      </w:r>
    </w:p>
    <w:p w14:paraId="58F9131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分行业能源消费总量、分行业煤炭消费总量、分行业石油消费总量、分行业天然气消费总量、分行业电力消费总量、能源生产总量及构成。</w:t>
      </w:r>
    </w:p>
    <w:p w14:paraId="725B00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中国地图数据来源：</w:t>
      </w:r>
    </w:p>
    <w:p w14:paraId="6B71FA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"https://raw.githubusercontent.com/iuvc/magicJs/main/public/worldMap/china.json"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eastAsia" w:ascii="宋体" w:hAnsi="宋体" w:eastAsia="宋体" w:cs="宋体"/>
          <w:sz w:val="24"/>
          <w:szCs w:val="24"/>
          <w:lang w:val="en-US" w:eastAsia="zh-CN"/>
        </w:rPr>
        <w:t>https://raw.githubusercontent.com/iuvc/magicJs/main/public/worldMap/china.json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239F49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1.2 数据处理</w:t>
      </w:r>
    </w:p>
    <w:p w14:paraId="656CD4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在这个过程中，我们遇到了如下问题：</w:t>
      </w:r>
    </w:p>
    <w:p w14:paraId="652B026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1、在原始数据集中，原煤生产量、原油生产量、天然气生产量、发电量单位分别为万吨、万吨、亿立方米、亿千瓦时。在绘制全国各地区能源生产总量图时，我们希望将它们的单位统一，可视化呈现每个地区能源生产总量，从而进行可视化分析并得出相关结论。</w:t>
      </w:r>
    </w:p>
    <w:p w14:paraId="7355028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2、在处理各产业能源消费的相关数据时，我们希望能绘制出反映能源消费在各个产业分布情况的流动图，同时将其与碳排放量结合在一起，探究各个产业对总体碳排放量的贡献。</w:t>
      </w:r>
    </w:p>
    <w:p w14:paraId="71D5D9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能源消费总量统计核算方法分为电热当量（计算）法和发电煤耗（计算）法，主要区别在于电力消费统计的不同处理方式。电热当量法将电力按自身的热功当量换算成标准煤，发电煤耗法将电力按当年平均火力发电能耗换算成标准煤。</w:t>
      </w:r>
    </w:p>
    <w:p w14:paraId="6432EE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国际能源数据一般采用电热功当量计算法，为兼顾国内和国际不同需求，在《中国能源统计年鉴》中计算能源生产总量和能源消费总量时，分别按照这两种计算方法列出了数据。</w:t>
      </w:r>
    </w:p>
    <w:p w14:paraId="162972B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在原始数据集中，包含两种计算方式列出的数据，后续数据分析时，我们需要根据具体的数据集选择合适的数据计算方法。</w:t>
      </w:r>
    </w:p>
    <w:p w14:paraId="6BD416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搜据数据后我们得到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常用能源与标准煤的换算关系：</w:t>
      </w:r>
    </w:p>
    <w:p w14:paraId="730B78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后续数据分析时，我们将能源生产量的单位统一转化为千克标准煤(kgce)以进行图表绘制</w:t>
      </w: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41910</wp:posOffset>
            </wp:positionV>
            <wp:extent cx="5278120" cy="1777365"/>
            <wp:effectExtent l="0" t="0" r="10160" b="5715"/>
            <wp:wrapTight wrapText="bothSides">
              <wp:wrapPolygon>
                <wp:start x="0" y="0"/>
                <wp:lineTo x="0" y="21484"/>
                <wp:lineTo x="21517" y="21484"/>
                <wp:lineTo x="21517" y="0"/>
                <wp:lineTo x="0" y="0"/>
              </wp:wrapPolygon>
            </wp:wrapTight>
            <wp:docPr id="6" name="图片 1" descr="77acacd37f6dc4c2670d281c23a9d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77acacd37f6dc4c2670d281c23a9d73"/>
                    <pic:cNvPicPr>
                      <a:picLocks noChangeAspect="1"/>
                    </pic:cNvPicPr>
                  </pic:nvPicPr>
                  <pic:blipFill>
                    <a:blip r:embed="rId5"/>
                    <a:srcRect l="2879" r="1410" b="83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1184E98E"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-SA"/>
        </w:rPr>
        <w:t>1.3数据处理结果</w:t>
      </w:r>
    </w:p>
    <w:p w14:paraId="1095B3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本组分析的能源种类为原煤/煤炭、原油/石油、天然气、电力。根据能源转换表和相关资料，两种数据计算方式对于原油、原煤、天然气的计算方式相同，而针对电力两种计算方法的结果差异较大。</w:t>
      </w:r>
    </w:p>
    <w:p w14:paraId="7F6B5E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将原始数据集中的相关数据比对，选用电热当量计算法处理数据，将不同单位的数据统一，相关计算公式：</w:t>
      </w:r>
    </w:p>
    <w:p w14:paraId="68F674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电力：0.1229千克标准煤/千瓦小时=1.229万吨标准煤/亿千瓦时</w:t>
      </w:r>
    </w:p>
    <w:p w14:paraId="228497F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天然气：1.33千克标准煤/立方米=13.3万吨标准煤/亿立方米</w:t>
      </w:r>
    </w:p>
    <w:p w14:paraId="257545C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煤炭/原煤：0.7143千克标准煤/千克=0.7143万吨标准煤/万吨</w:t>
      </w:r>
    </w:p>
    <w:p w14:paraId="30DB07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eastAsiaTheme="minorEastAsia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石油/原油：1.4286千克标准煤/千克=1.4286万吨标准煤/万吨</w:t>
      </w:r>
    </w:p>
    <w:p w14:paraId="4B0B40AC"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b/>
          <w:bCs/>
          <w:sz w:val="24"/>
          <w:szCs w:val="24"/>
        </w:rPr>
        <w:t>.1 桑基图</w:t>
      </w:r>
    </w:p>
    <w:p w14:paraId="2EEA10A3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桑基图(Sankey Diagram)又称桑基能量分流图或桑基能量平衡图，是一种表现数据间包含和权重关系流向的特定类型流程图。桑基图具有以下几个特点。</w:t>
      </w:r>
    </w:p>
    <w:p w14:paraId="1E25C39D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(1)桑基图遵循能量守恒定律，即起始流量和结束流量相同，无论数据怎样流动，数据的总量从开始到结束都不能有任何的变化，不能在中间过程创造数据，损耗数据应该流向表示损耗的支点。</w:t>
      </w:r>
    </w:p>
    <w:p w14:paraId="02C6BA06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(2)所有主支宽度的总和与所有分支宽度总和相等，保持能量的平衡；线条的宽度成比例地显示此分支占有的流量，线条的颜色代表不同的分支种类。</w:t>
      </w:r>
    </w:p>
    <w:p w14:paraId="1C93FD4D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(3)常见的布局形式有左右流向布局和上下流向布局，通过线条流动的位置和归属，来表现各类数据之间的包含与被包含关系。</w:t>
      </w:r>
    </w:p>
    <w:p w14:paraId="74F6A622"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4"/>
          <w:szCs w:val="24"/>
        </w:rPr>
      </w:pP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15240</wp:posOffset>
            </wp:positionV>
            <wp:extent cx="5434330" cy="3072130"/>
            <wp:effectExtent l="0" t="0" r="6350" b="6350"/>
            <wp:wrapTight wrapText="bothSides">
              <wp:wrapPolygon>
                <wp:start x="0" y="0"/>
                <wp:lineTo x="0" y="21537"/>
                <wp:lineTo x="21565" y="21537"/>
                <wp:lineTo x="21565" y="0"/>
                <wp:lineTo x="0" y="0"/>
              </wp:wrapPolygon>
            </wp:wrapTight>
            <wp:docPr id="100" name="图片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b/>
          <w:bCs/>
          <w:sz w:val="24"/>
          <w:szCs w:val="24"/>
        </w:rPr>
        <w:t>.2 碳排放核算</w:t>
      </w:r>
    </w:p>
    <w:p w14:paraId="4F19A520">
      <w:pPr>
        <w:numPr>
          <w:ilvl w:val="0"/>
          <w:numId w:val="0"/>
        </w:numPr>
        <w:ind w:firstLine="416" w:firstLineChars="200"/>
        <w:rPr>
          <w:rFonts w:hint="eastAsia" w:ascii="宋体" w:hAnsi="宋体" w:eastAsia="宋体" w:cs="宋体"/>
          <w:sz w:val="24"/>
          <w:szCs w:val="24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920115</wp:posOffset>
            </wp:positionV>
            <wp:extent cx="5351145" cy="1543050"/>
            <wp:effectExtent l="0" t="0" r="43815" b="26670"/>
            <wp:wrapTight wrapText="bothSides">
              <wp:wrapPolygon>
                <wp:start x="0" y="0"/>
                <wp:lineTo x="0" y="21333"/>
                <wp:lineTo x="21531" y="21333"/>
                <wp:lineTo x="21531" y="0"/>
                <wp:lineTo x="0" y="0"/>
              </wp:wrapPolygon>
            </wp:wrapTight>
            <wp:docPr id="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</w:rPr>
        <w:t>碳排放是关于温室气体排放的一个总称，而温室气体中最主要的组成部分就是二氧化碳，因此我们常说的碳排放可以理解为二氧化碳排放。二氧化碳排放量的计算方法参考《2006年IPCC国家温室气体清单指南》，不同燃料品种、不同部门的二氧化碳排放量计算式为</w:t>
      </w:r>
    </w:p>
    <w:p w14:paraId="5C743835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285168A2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60D42A81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1114D7B6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7DEE1A21">
      <w:pPr>
        <w:numPr>
          <w:ilvl w:val="0"/>
          <w:numId w:val="0"/>
        </w:numPr>
        <w:jc w:val="both"/>
        <w:rPr>
          <w:rFonts w:hint="eastAsia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2574290</wp:posOffset>
            </wp:positionH>
            <wp:positionV relativeFrom="paragraph">
              <wp:posOffset>-838835</wp:posOffset>
            </wp:positionV>
            <wp:extent cx="2916555" cy="4511040"/>
            <wp:effectExtent l="0" t="0" r="9525" b="0"/>
            <wp:wrapTight wrapText="bothSides">
              <wp:wrapPolygon>
                <wp:start x="0" y="0"/>
                <wp:lineTo x="0" y="21527"/>
                <wp:lineTo x="21445" y="21527"/>
                <wp:lineTo x="21445" y="0"/>
                <wp:lineTo x="0" y="0"/>
              </wp:wrapPolygon>
            </wp:wrapTight>
            <wp:docPr id="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2B3295">
      <w:pPr>
        <w:numPr>
          <w:ilvl w:val="0"/>
          <w:numId w:val="0"/>
        </w:numPr>
        <w:jc w:val="both"/>
        <w:rPr>
          <w:rFonts w:hint="eastAsia"/>
        </w:rPr>
      </w:pPr>
    </w:p>
    <w:p w14:paraId="5E392D05">
      <w:pPr>
        <w:numPr>
          <w:ilvl w:val="0"/>
          <w:numId w:val="0"/>
        </w:numPr>
        <w:jc w:val="both"/>
        <w:rPr>
          <w:rFonts w:hint="eastAsia"/>
        </w:rPr>
      </w:pPr>
    </w:p>
    <w:p w14:paraId="5E98D54F">
      <w:pPr>
        <w:numPr>
          <w:ilvl w:val="0"/>
          <w:numId w:val="0"/>
        </w:numPr>
        <w:jc w:val="both"/>
        <w:rPr>
          <w:rFonts w:hint="eastAsia"/>
        </w:rPr>
      </w:pPr>
    </w:p>
    <w:p w14:paraId="76587740">
      <w:pPr>
        <w:numPr>
          <w:ilvl w:val="0"/>
          <w:numId w:val="0"/>
        </w:numPr>
        <w:jc w:val="both"/>
        <w:rPr>
          <w:rFonts w:hint="eastAsia"/>
        </w:rPr>
      </w:pPr>
    </w:p>
    <w:p w14:paraId="6D6EBC71">
      <w:pPr>
        <w:numPr>
          <w:ilvl w:val="0"/>
          <w:numId w:val="0"/>
        </w:numPr>
        <w:jc w:val="both"/>
        <w:rPr>
          <w:rFonts w:hint="eastAsia"/>
        </w:rPr>
      </w:pPr>
    </w:p>
    <w:p w14:paraId="162A2FC3">
      <w:pPr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具体的每种能源消耗燃料参数如右表所示：</w:t>
      </w:r>
    </w:p>
    <w:p w14:paraId="1ECA2206">
      <w:pPr>
        <w:numPr>
          <w:ilvl w:val="0"/>
          <w:numId w:val="0"/>
        </w:numPr>
        <w:ind w:firstLine="416" w:firstLineChars="200"/>
        <w:jc w:val="center"/>
      </w:pPr>
    </w:p>
    <w:p w14:paraId="1389FDE0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67BABD2A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4D0C0E9B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10E1F5F4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57ABBE04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295958B6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5F75C5D8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1A4E3968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7AAFEDB9">
      <w:pPr>
        <w:numPr>
          <w:ilvl w:val="0"/>
          <w:numId w:val="0"/>
        </w:numPr>
        <w:ind w:firstLine="416" w:firstLineChars="200"/>
        <w:jc w:val="center"/>
        <w:rPr>
          <w:rFonts w:hint="eastAsia"/>
        </w:rPr>
      </w:pPr>
    </w:p>
    <w:p w14:paraId="2799CB45">
      <w:pPr>
        <w:numPr>
          <w:ilvl w:val="0"/>
          <w:numId w:val="0"/>
        </w:numPr>
        <w:jc w:val="both"/>
        <w:rPr>
          <w:rFonts w:hint="eastAsia"/>
        </w:rPr>
      </w:pPr>
    </w:p>
    <w:p w14:paraId="26DCBEAB">
      <w:pPr>
        <w:numPr>
          <w:ilvl w:val="0"/>
          <w:numId w:val="0"/>
        </w:numPr>
        <w:jc w:val="both"/>
        <w:rPr>
          <w:rFonts w:hint="eastAsia"/>
        </w:rPr>
      </w:pPr>
    </w:p>
    <w:p w14:paraId="7D62E199"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b/>
          <w:bCs/>
          <w:sz w:val="24"/>
          <w:szCs w:val="24"/>
        </w:rPr>
        <w:t xml:space="preserve">.3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碳流图</w:t>
      </w:r>
      <w:r>
        <w:rPr>
          <w:rFonts w:hint="eastAsia" w:ascii="宋体" w:hAnsi="宋体" w:eastAsia="宋体" w:cs="宋体"/>
          <w:b/>
          <w:bCs/>
          <w:sz w:val="24"/>
          <w:szCs w:val="24"/>
        </w:rPr>
        <w:t>绘制边界条件</w:t>
      </w:r>
    </w:p>
    <w:p w14:paraId="6BEECB52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在绘制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碳流图</w:t>
      </w:r>
      <w:r>
        <w:rPr>
          <w:rFonts w:hint="eastAsia" w:ascii="宋体" w:hAnsi="宋体" w:eastAsia="宋体" w:cs="宋体"/>
          <w:sz w:val="24"/>
          <w:szCs w:val="24"/>
        </w:rPr>
        <w:t>时，为了使图形不过于复杂且能真实反映能源流动和碳排放情况，绘制图形时做了如下简化。</w:t>
      </w:r>
    </w:p>
    <w:p w14:paraId="4CBA43F1">
      <w:pPr>
        <w:numPr>
          <w:ilvl w:val="0"/>
          <w:numId w:val="0"/>
        </w:numPr>
        <w:ind w:firstLine="476" w:firstLineChars="2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(1)根据文献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《国民经济行业分类》</w:t>
      </w:r>
      <w:r>
        <w:rPr>
          <w:rFonts w:hint="eastAsia" w:ascii="宋体" w:hAnsi="宋体" w:eastAsia="宋体" w:cs="宋体"/>
          <w:sz w:val="24"/>
          <w:szCs w:val="24"/>
        </w:rPr>
        <w:t>，在绘制能流图时对产业进行了划分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二氧化碳排放量的大小受不同产业和不同种类化石能源决定, 碳流图左侧表示不同种类的能源流动情况, 碳流图右侧为各个产业的能源消费结构，农、林、牧、渔业属于第一产业；工业和建筑业属于第二产业；交通运输、仓储和邮政业、批发、零售业和住宿、餐营业以及其他属于第三产业；生活消费独立于3个产业之外，包括城镇和乡村能源消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；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以及</w:t>
      </w:r>
      <w:r>
        <w:rPr>
          <w:rFonts w:hint="eastAsia" w:ascii="宋体" w:hAnsi="宋体" w:eastAsia="宋体" w:cs="宋体"/>
          <w:sz w:val="24"/>
          <w:szCs w:val="24"/>
        </w:rPr>
        <w:t>火力发电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和供热。</w:t>
      </w:r>
    </w:p>
    <w:p w14:paraId="1CF10A36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(2)对不同燃料品种进行了合并，如原煤和煤炭制品统称为煤炭、原油及其石油制品统称为石油、天然气和液化天然气统称为天然气。</w:t>
      </w:r>
    </w:p>
    <w:p w14:paraId="581E86AC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(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 w:cs="宋体"/>
          <w:sz w:val="24"/>
          <w:szCs w:val="24"/>
        </w:rPr>
        <w:t>)二氧化碳是在化石能源的燃烧过程中产生的，因此在碳流图绘制时参考《高比例新能源接入下电力系统惯量相关问题研究综述》的计算方法，即在计算碳排放时只考虑煤炭、石油和天然气在用于火力发电、供热以及终端能源消费时产生的碳排放，不考虑化石能源用于原材料、其他加工转化环节的碳排放。</w:t>
      </w:r>
    </w:p>
    <w:p w14:paraId="75B392F5">
      <w:pPr>
        <w:numPr>
          <w:ilvl w:val="0"/>
          <w:numId w:val="0"/>
        </w:numPr>
        <w:ind w:firstLine="476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最后，</w:t>
      </w:r>
      <w:r>
        <w:rPr>
          <w:rFonts w:hint="eastAsia" w:ascii="宋体" w:hAnsi="宋体" w:eastAsia="宋体" w:cs="宋体"/>
          <w:sz w:val="24"/>
          <w:szCs w:val="24"/>
        </w:rPr>
        <w:t>我们绘制了从煤炭、石油、天然气流向第一、二、三产业、供热、火力发电、居民生活等产业的碳流图，并得到我国2015~2021年各年的总碳排量。</w:t>
      </w:r>
    </w:p>
    <w:p w14:paraId="3B6967EA">
      <w:pPr>
        <w:numPr>
          <w:ilvl w:val="0"/>
          <w:numId w:val="0"/>
        </w:numPr>
        <w:ind w:firstLine="416" w:firstLineChars="200"/>
        <w:rPr>
          <w:rFonts w:hint="eastAsia" w:ascii="宋体" w:hAnsi="宋体" w:eastAsia="宋体" w:cs="宋体"/>
          <w:sz w:val="21"/>
          <w:szCs w:val="21"/>
        </w:rPr>
      </w:pPr>
    </w:p>
    <w:p w14:paraId="26B98B46">
      <w:pPr>
        <w:pStyle w:val="3"/>
        <w:numPr>
          <w:ilvl w:val="0"/>
          <w:numId w:val="1"/>
        </w:numPr>
        <w:bidi w:val="0"/>
      </w:pPr>
      <w:r>
        <w:t>可视化设计与分析</w:t>
      </w:r>
    </w:p>
    <w:p w14:paraId="26188126"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kern w:val="2"/>
          <w:sz w:val="24"/>
          <w:szCs w:val="24"/>
          <w:lang w:val="en-US" w:eastAsia="zh-CN" w:bidi="ar-SA"/>
        </w:rPr>
        <w:t>（1）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视图总览</w:t>
      </w:r>
    </w:p>
    <w:p w14:paraId="149629FB">
      <w:pPr>
        <w:numPr>
          <w:ilvl w:val="0"/>
          <w:numId w:val="0"/>
        </w:numPr>
        <w:ind w:firstLine="476" w:firstLineChars="2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1、条形图：纵轴为地区，横轴为相关能源生产量，按由大到小的顺序排列</w:t>
      </w:r>
    </w:p>
    <w:p w14:paraId="547CF654">
      <w:pPr>
        <w:numPr>
          <w:ilvl w:val="0"/>
          <w:numId w:val="0"/>
        </w:numPr>
        <w:ind w:firstLine="476" w:firstLineChars="2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2、地图(气泡图)：按不同地区颜色深浅/气泡大小反映当地能源产量大小</w:t>
      </w:r>
    </w:p>
    <w:p w14:paraId="5FB22AC4">
      <w:pPr>
        <w:numPr>
          <w:ilvl w:val="0"/>
          <w:numId w:val="0"/>
        </w:numPr>
        <w:ind w:firstLine="476" w:firstLineChars="2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3、径向堆叠条形图：圆周为地区，径向为能源生产量(不同能源种类堆叠）</w:t>
      </w:r>
    </w:p>
    <w:p w14:paraId="6401CF44">
      <w:pPr>
        <w:numPr>
          <w:ilvl w:val="0"/>
          <w:numId w:val="0"/>
        </w:numPr>
        <w:ind w:firstLine="476" w:firstLineChars="2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2416810</wp:posOffset>
            </wp:positionH>
            <wp:positionV relativeFrom="paragraph">
              <wp:posOffset>56515</wp:posOffset>
            </wp:positionV>
            <wp:extent cx="3647440" cy="2450465"/>
            <wp:effectExtent l="0" t="0" r="40640" b="48895"/>
            <wp:wrapTight wrapText="bothSides">
              <wp:wrapPolygon>
                <wp:start x="0" y="0"/>
                <wp:lineTo x="0" y="21494"/>
                <wp:lineTo x="21480" y="21494"/>
                <wp:lineTo x="21480" y="0"/>
                <wp:lineTo x="0" y="0"/>
              </wp:wrapPolygon>
            </wp:wrapTight>
            <wp:docPr id="20" name="图片 19" descr="微信图片_20231204221942o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微信图片_20231204221942oo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4、组合图(折线图+柱状图)：一种横轴为年份，折线图纵轴为不同能源消耗占比，柱状图纵轴为能源消耗总量；另一种横轴为年份，折线图纵轴为供需关系比，柱状图纵轴为过需消费量</w:t>
      </w:r>
    </w:p>
    <w:p w14:paraId="13EA5F5C">
      <w:pPr>
        <w:numPr>
          <w:ilvl w:val="0"/>
          <w:numId w:val="0"/>
        </w:numPr>
        <w:ind w:firstLine="476" w:firstLineChars="2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5、碳流图：能量起点为不同种类能源，分别流向不同产业(第一/第二/第三产业/居民生活)</w:t>
      </w:r>
    </w:p>
    <w:p w14:paraId="272F7F12">
      <w:pPr>
        <w:numPr>
          <w:ilvl w:val="0"/>
          <w:numId w:val="0"/>
        </w:numPr>
        <w:ind w:firstLine="476" w:firstLineChars="2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-176530</wp:posOffset>
            </wp:positionH>
            <wp:positionV relativeFrom="paragraph">
              <wp:posOffset>652145</wp:posOffset>
            </wp:positionV>
            <wp:extent cx="6080125" cy="4126865"/>
            <wp:effectExtent l="0" t="0" r="635" b="3175"/>
            <wp:wrapTight wrapText="bothSides">
              <wp:wrapPolygon>
                <wp:start x="0" y="0"/>
                <wp:lineTo x="0" y="21537"/>
                <wp:lineTo x="21548" y="21537"/>
                <wp:lineTo x="21548" y="0"/>
                <wp:lineTo x="0" y="0"/>
              </wp:wrapPolygon>
            </wp:wrapTight>
            <wp:docPr id="19" name="图片 18" descr="微信图片_2023120422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微信图片_20231204221742"/>
                    <pic:cNvPicPr>
                      <a:picLocks noChangeAspect="1"/>
                    </pic:cNvPicPr>
                  </pic:nvPicPr>
                  <pic:blipFill>
                    <a:blip r:embed="rId10"/>
                    <a:srcRect r="19998" b="47102"/>
                    <a:stretch>
                      <a:fillRect/>
                    </a:stretch>
                  </pic:blipFill>
                  <pic:spPr>
                    <a:xfrm>
                      <a:off x="0" y="0"/>
                      <a:ext cx="608012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交互设计：可选择年份(2015年~2021年)/资源种类(石油、煤炭、天然气、电力）</w:t>
      </w:r>
    </w:p>
    <w:p w14:paraId="273CBB8E">
      <w:pPr>
        <w:numPr>
          <w:ilvl w:val="0"/>
          <w:numId w:val="2"/>
        </w:num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视图分析</w:t>
      </w:r>
    </w:p>
    <w:p w14:paraId="4DA4CF32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1、地图(气泡图)：按不同地区气泡大小反映当地能源产量大小。</w:t>
      </w:r>
    </w:p>
    <w:p w14:paraId="6C6A9930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交互：可选择不同种类能源不同年份的具体情况查看，鼠标悬停在圆圈上时圆圈呈现高亮状态。</w:t>
      </w:r>
    </w:p>
    <w:p w14:paraId="4889D9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1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363220</wp:posOffset>
            </wp:positionH>
            <wp:positionV relativeFrom="paragraph">
              <wp:posOffset>45085</wp:posOffset>
            </wp:positionV>
            <wp:extent cx="4711700" cy="513715"/>
            <wp:effectExtent l="0" t="0" r="12700" b="4445"/>
            <wp:wrapTight wrapText="bothSides">
              <wp:wrapPolygon>
                <wp:start x="0" y="0"/>
                <wp:lineTo x="0" y="21146"/>
                <wp:lineTo x="21518" y="21146"/>
                <wp:lineTo x="21518" y="0"/>
                <wp:lineTo x="0" y="0"/>
              </wp:wrapPolygon>
            </wp:wrapTight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296545</wp:posOffset>
            </wp:positionH>
            <wp:positionV relativeFrom="paragraph">
              <wp:posOffset>600710</wp:posOffset>
            </wp:positionV>
            <wp:extent cx="4906010" cy="4073525"/>
            <wp:effectExtent l="0" t="0" r="1270" b="10795"/>
            <wp:wrapTight wrapText="bothSides">
              <wp:wrapPolygon>
                <wp:start x="0" y="0"/>
                <wp:lineTo x="0" y="21496"/>
                <wp:lineTo x="21538" y="21496"/>
                <wp:lineTo x="21538" y="0"/>
                <wp:lineTo x="0" y="0"/>
              </wp:wrapPolygon>
            </wp:wrapTight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交互的实现：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首先，通过d3.csv()方法读取一个CSV文件，并使用.then()方法设置回调函数。在回调函数中，我们首先定义了三个变量：selectedYear（默认年份为2015）、selectedData（根据默认年份2015筛选出的数据）和selectedType（默认种类为1，即“原煤生产量”）。</w:t>
      </w:r>
    </w:p>
    <w:p w14:paraId="657885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然后，定义了一个名为drawChart的函数，用于绘制图表。在该函数内部，首先使用d3.select()选择要操作的SVG元素，并使用.selectAll("*").remove()方法清空原有的图表内容。然后，调用chinamap()和production()函数来生成图表。</w:t>
      </w:r>
    </w:p>
    <w:p w14:paraId="1A456F1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绘制初始图表之后，我们使用d3.select()方法监听下拉列表yearSelect1和typeSelect1的change事件。当选择发生变化时，对应的回调函数将被执行。在回调函数中，我们更新了selectedYear（2015，2016，2017，2018，2019，2020，2021）或selectedType（ 1即“原煤生产量” ，2即“原油生产量”，3即“天然气生产量”，4即“发电量”）的值，并根据新的选择重新筛选数据，最后调用drawChart函数重新绘制图表。</w:t>
      </w:r>
    </w:p>
    <w:p w14:paraId="233C38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我们使用了d3的on方法来实现鼠标悬停和移出地图上的圆圈时的事件监听。具体来说，在绘制圆圈时，给每个圆圈添加了一个监听器，当鼠标悬停在圆圈上时，mouseover事件被触发，对应的回调函数会被执行。</w:t>
      </w:r>
    </w:p>
    <w:p w14:paraId="28EFF8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1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101600</wp:posOffset>
            </wp:positionH>
            <wp:positionV relativeFrom="paragraph">
              <wp:posOffset>24130</wp:posOffset>
            </wp:positionV>
            <wp:extent cx="5067300" cy="4409440"/>
            <wp:effectExtent l="0" t="0" r="7620" b="0"/>
            <wp:wrapTight wrapText="bothSides">
              <wp:wrapPolygon>
                <wp:start x="0" y="0"/>
                <wp:lineTo x="0" y="21500"/>
                <wp:lineTo x="21568" y="21500"/>
                <wp:lineTo x="21568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886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回调函数中，我们使用d3.select(this)选择当前的圆圈元素，然后通过.attr()方法设置其填充透明度为1，从而使得圆圈呈现高亮状态；当鼠标移出时，mouseout事件被触发，对应的回调函数会被执行。同样地，在回调函数中，我们使用d3.select(this)选择当前的圆圈元素，并通过.attr()方法设置其填充透明度为0.5，即默认状态。</w:t>
      </w:r>
    </w:p>
    <w:p w14:paraId="6273F4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 xml:space="preserve">2、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条形图：纵轴为地区，横轴为相关能源生产量，按由大到小的顺序排列。</w:t>
      </w:r>
    </w:p>
    <w:p w14:paraId="483581E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/>
          <w:lang w:val="en-US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交互：可选择不同种类能源不同年份的具体情况查看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  <w:r>
        <w:drawing>
          <wp:inline distT="0" distB="0" distL="114300" distR="114300">
            <wp:extent cx="3623945" cy="394970"/>
            <wp:effectExtent l="0" t="0" r="3175" b="12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A7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/>
          <w:lang w:val="en-US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-350520</wp:posOffset>
            </wp:positionH>
            <wp:positionV relativeFrom="paragraph">
              <wp:posOffset>12700</wp:posOffset>
            </wp:positionV>
            <wp:extent cx="5391785" cy="2529840"/>
            <wp:effectExtent l="0" t="0" r="3175" b="0"/>
            <wp:wrapTight wrapText="bothSides">
              <wp:wrapPolygon>
                <wp:start x="0" y="0"/>
                <wp:lineTo x="0" y="21470"/>
                <wp:lineTo x="21552" y="21470"/>
                <wp:lineTo x="21552" y="0"/>
                <wp:lineTo x="0" y="0"/>
              </wp:wrapPolygon>
            </wp:wrapTight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rcRect t="1591" r="1323" b="3745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CC02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168A9A5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7F7F37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1F5A22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173E80E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3F0C9E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52A2D8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6EC59AF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17CC81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364548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110642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0454219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049C16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3、径向堆叠条形图：圆周为地区，径向为能源生产量(不同能源种类堆叠）。</w:t>
      </w:r>
    </w:p>
    <w:p w14:paraId="456E4C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交互：可选择不同年份的具体情况查看。</w:t>
      </w:r>
    </w:p>
    <w:p w14:paraId="634338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143510</wp:posOffset>
            </wp:positionH>
            <wp:positionV relativeFrom="paragraph">
              <wp:posOffset>119380</wp:posOffset>
            </wp:positionV>
            <wp:extent cx="4806950" cy="5131435"/>
            <wp:effectExtent l="0" t="0" r="8890" b="4445"/>
            <wp:wrapTight wrapText="bothSides">
              <wp:wrapPolygon>
                <wp:start x="0" y="0"/>
                <wp:lineTo x="0" y="21555"/>
                <wp:lineTo x="21503" y="21555"/>
                <wp:lineTo x="21503" y="0"/>
                <wp:lineTo x="0" y="0"/>
              </wp:wrapPolygon>
            </wp:wrapTight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rcRect l="1772" t="3513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6CF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244968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16" w:firstLineChars="200"/>
        <w:textAlignment w:val="auto"/>
        <w:rPr>
          <w:rFonts w:hint="eastAsia" w:ascii="宋体" w:hAnsi="宋体" w:cs="宋体" w:eastAsiaTheme="minorEastAsia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-1297305</wp:posOffset>
            </wp:positionH>
            <wp:positionV relativeFrom="paragraph">
              <wp:posOffset>64135</wp:posOffset>
            </wp:positionV>
            <wp:extent cx="2163445" cy="442595"/>
            <wp:effectExtent l="0" t="0" r="635" b="14605"/>
            <wp:wrapTight wrapText="bothSides">
              <wp:wrapPolygon>
                <wp:start x="0" y="0"/>
                <wp:lineTo x="0" y="20825"/>
                <wp:lineTo x="21454" y="20825"/>
                <wp:lineTo x="21454" y="0"/>
                <wp:lineTo x="0" y="0"/>
              </wp:wrapPolygon>
            </wp:wrapTight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85B52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0A042B2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7ADB6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76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5E23F63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4F0BA6E8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0BE8881E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4D023164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320ADDA4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2E0A57B7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374579D7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39F45CEB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124F687F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6D0D6E7F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2B66E964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27FDED01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250B7CB2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4F18D240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413C5B96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0ADADCE3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1DF08D70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1A05B261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578C6F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4、</w:t>
      </w:r>
      <w: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4046855</wp:posOffset>
            </wp:positionH>
            <wp:positionV relativeFrom="paragraph">
              <wp:posOffset>1032510</wp:posOffset>
            </wp:positionV>
            <wp:extent cx="1290320" cy="1132840"/>
            <wp:effectExtent l="0" t="0" r="5080" b="10160"/>
            <wp:wrapTight wrapText="bothSides">
              <wp:wrapPolygon>
                <wp:start x="0" y="0"/>
                <wp:lineTo x="0" y="21213"/>
                <wp:lineTo x="21430" y="21213"/>
                <wp:lineTo x="21430" y="0"/>
                <wp:lineTo x="0" y="0"/>
              </wp:wrapPolygon>
            </wp:wrapTight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113284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-34925</wp:posOffset>
            </wp:positionH>
            <wp:positionV relativeFrom="paragraph">
              <wp:posOffset>1021080</wp:posOffset>
            </wp:positionV>
            <wp:extent cx="3957320" cy="540385"/>
            <wp:effectExtent l="0" t="0" r="50800" b="23495"/>
            <wp:wrapTight wrapText="bothSides">
              <wp:wrapPolygon>
                <wp:start x="0" y="0"/>
                <wp:lineTo x="0" y="20712"/>
                <wp:lineTo x="21545" y="20712"/>
                <wp:lineTo x="21545" y="0"/>
                <wp:lineTo x="0" y="0"/>
              </wp:wrapPolygon>
            </wp:wrapTight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碳流图：能量起点为不同种类能源，分别流向不同产业(第一/第二/第三产业/居民生活)。交互：可选择年份并显示具体数据。</w:t>
      </w:r>
      <w:r>
        <w:drawing>
          <wp:inline distT="0" distB="0" distL="114300" distR="114300">
            <wp:extent cx="6035040" cy="4504055"/>
            <wp:effectExtent l="0" t="0" r="0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9">
                      <a:lum contrast="18000"/>
                    </a:blip>
                    <a:srcRect l="19827" t="640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8E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5、</w:t>
      </w:r>
      <w: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-135255</wp:posOffset>
            </wp:positionH>
            <wp:positionV relativeFrom="paragraph">
              <wp:posOffset>612775</wp:posOffset>
            </wp:positionV>
            <wp:extent cx="5821680" cy="4538345"/>
            <wp:effectExtent l="0" t="0" r="0" b="0"/>
            <wp:wrapTight wrapText="bothSides">
              <wp:wrapPolygon>
                <wp:start x="0" y="0"/>
                <wp:lineTo x="0" y="21543"/>
                <wp:lineTo x="21543" y="21543"/>
                <wp:lineTo x="21543" y="18424"/>
                <wp:lineTo x="17585" y="17408"/>
                <wp:lineTo x="21543" y="17263"/>
                <wp:lineTo x="21543" y="0"/>
                <wp:lineTo x="0" y="0"/>
              </wp:wrapPolygon>
            </wp:wrapTight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0">
                      <a:clrChange>
                        <a:clrFrom>
                          <a:srgbClr val="E1E1E1">
                            <a:alpha val="100000"/>
                          </a:srgbClr>
                        </a:clrFrom>
                        <a:clrTo>
                          <a:srgbClr val="E1E1E1">
                            <a:alpha val="100000"/>
                            <a:alpha val="0"/>
                          </a:srgbClr>
                        </a:clrTo>
                      </a:clrChange>
                      <a:lum contrast="24000"/>
                    </a:blip>
                    <a:srcRect l="3420" t="4350" r="1371" b="2922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组合图(折线图+柱状图)：横轴为年份，折线图纵轴为不同能源消耗占比，柱状图纵轴为能源消耗总量。交互：随着鼠标移动，会显示对应年份不同能源的占比数据和饼图，以及高亮显示对应的柱状图。</w:t>
      </w:r>
    </w:p>
    <w:p w14:paraId="04A642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交互的实现：</w:t>
      </w:r>
    </w:p>
    <w:p w14:paraId="4A28809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创建一个垂直线（verticalLine），用于在图表上表示鼠标所在的位置，初始时设置为透明（opacity: 0），默认年份currentYear为null 。</w:t>
      </w:r>
      <w:r>
        <w:drawing>
          <wp:inline distT="0" distB="0" distL="114300" distR="114300">
            <wp:extent cx="5267960" cy="2113280"/>
            <wp:effectExtent l="0" t="0" r="5080" b="508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195" cy="211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35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使用了d3的on方法来实现 SVG 上的鼠标移动的事件监听，当鼠标在页面上移动时，mousemove 事件被触发，对应的回调函数会被执行。在回调函数中，使用d3.pointer(event)方法获取鼠标在 SVG 中的位置（mouseX 和 mouseY），然后判断鼠标是否在图表范围内，如果在范围内，就使用 find 方法查找与鼠标位置相交的数据点。</w:t>
      </w:r>
    </w:p>
    <w:p w14:paraId="0795F3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758180" cy="1563370"/>
            <wp:effectExtent l="0" t="0" r="2540" b="635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775" cy="156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9C4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如果存在相交的数据点，就更新垂直线的位置，</w:t>
      </w:r>
    </w:p>
    <w:p w14:paraId="220DFCF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487035" cy="1098550"/>
            <wp:effectExtent l="0" t="0" r="14605" b="139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7651" cy="10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66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更新当前年份currentYear为相交的数据点的年份intersectedPoint.年份，同时更新饼图。</w:t>
      </w:r>
    </w:p>
    <w:p w14:paraId="31C269A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487035" cy="1642110"/>
            <wp:effectExtent l="0" t="0" r="14605" b="381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7651" cy="16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5E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58C5316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63B64F7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绘制饼图的函数：</w:t>
      </w:r>
    </w:p>
    <w:p w14:paraId="0A3B07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467350" cy="4314825"/>
            <wp:effectExtent l="0" t="0" r="3810" b="1333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7533" cy="43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7F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更新圆点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：</w:t>
      </w:r>
    </w:p>
    <w:p w14:paraId="129011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870575" cy="2655570"/>
            <wp:effectExtent l="0" t="0" r="12065" b="1143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1039" cy="265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6B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更新标签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：</w:t>
      </w:r>
    </w:p>
    <w:p w14:paraId="3EF687A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487035" cy="2655570"/>
            <wp:effectExtent l="0" t="0" r="14605" b="1143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7651" cy="265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AA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高亮对应年份的柱子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：</w:t>
      </w:r>
    </w:p>
    <w:p w14:paraId="50B16D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313680" cy="391795"/>
            <wp:effectExtent l="0" t="0" r="5080" b="444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3873" cy="39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BB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如果不存在相交的数据点，则隐藏垂直线和相关元素，重置currentYear为null，将柱状图的颜色恢复为默认颜色。</w:t>
      </w:r>
    </w:p>
    <w:p w14:paraId="029819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505450" cy="2247900"/>
            <wp:effectExtent l="0" t="0" r="11430" b="762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5650" cy="22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E9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1362E2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6、组合图(折线图+柱状图)：横轴为年份，折线图纵轴为不同能源供需比（生产量/消费量），柱状图纵轴为过需消费量（消费总量-生产总量）交互：随着鼠标移动，会显示对应年份各数据的值，以及高亮显示对应的柱状图。</w:t>
      </w:r>
    </w:p>
    <w:p w14:paraId="23543C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-100330</wp:posOffset>
            </wp:positionH>
            <wp:positionV relativeFrom="paragraph">
              <wp:posOffset>-7823200</wp:posOffset>
            </wp:positionV>
            <wp:extent cx="5399405" cy="4442460"/>
            <wp:effectExtent l="0" t="0" r="10795" b="7620"/>
            <wp:wrapTight wrapText="bothSides">
              <wp:wrapPolygon>
                <wp:start x="0" y="0"/>
                <wp:lineTo x="0" y="21563"/>
                <wp:lineTo x="21521" y="21563"/>
                <wp:lineTo x="21521" y="0"/>
                <wp:lineTo x="0" y="0"/>
              </wp:wrapPolygon>
            </wp:wrapTight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4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使用了SVG的foreignObject元素，在SVG中嵌入HTML元素，使用div元素来构建标签内容，通过设置样式来改变字体大小、文本对齐方式、背景颜色等。标签的位置是根据鼠标相对于SVG的位置来决定的</w:t>
      </w:r>
    </w:p>
    <w:p w14:paraId="68BEE3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237490</wp:posOffset>
            </wp:positionH>
            <wp:positionV relativeFrom="paragraph">
              <wp:posOffset>94615</wp:posOffset>
            </wp:positionV>
            <wp:extent cx="5213350" cy="4344035"/>
            <wp:effectExtent l="0" t="0" r="0" b="0"/>
            <wp:wrapTight wrapText="bothSides">
              <wp:wrapPolygon>
                <wp:start x="0" y="0"/>
                <wp:lineTo x="0" y="21521"/>
                <wp:lineTo x="21532" y="21521"/>
                <wp:lineTo x="21532" y="0"/>
                <wp:lineTo x="0" y="0"/>
              </wp:wrapPolygon>
            </wp:wrapTight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6E43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46C2B36F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</w:p>
    <w:p w14:paraId="57666B7D">
      <w:pPr>
        <w:pStyle w:val="3"/>
        <w:numPr>
          <w:ilvl w:val="0"/>
          <w:numId w:val="1"/>
        </w:numPr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示例分析</w:t>
      </w:r>
    </w:p>
    <w:p w14:paraId="101DC5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通过对组合图的分析可以得到：</w:t>
      </w:r>
    </w:p>
    <w:p w14:paraId="7E5771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能源生产总量总体上在逐年增加。煤炭在能源总量中占比始终最大。近些年来，一次电力及其他能源的生产量占比有明显增长。</w:t>
      </w:r>
    </w:p>
    <w:p w14:paraId="21BB31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结论：我国正在推动能源结构由高碳向低碳转型。</w:t>
      </w:r>
    </w:p>
    <w:p w14:paraId="1B472A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3790A4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通过对柱状图和气泡图的分析可以得到：</w:t>
      </w:r>
    </w:p>
    <w:p w14:paraId="543715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近年来全国各地区能源的总体生产情况和各地区的能源分产分工。如山西、内蒙古、陕西一直为原煤生产量最大的地区。发电量上各地区数据差异则不大。显然能源的生产情况具有地域性，与当地实际能源拥有情况、经济情况等均相关。</w:t>
      </w:r>
    </w:p>
    <w:p w14:paraId="6D1B0712"/>
    <w:p w14:paraId="214B22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通过对供需关系图的分析可以得到：</w:t>
      </w:r>
    </w:p>
    <w:p w14:paraId="206471E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进入21世纪，我国能源供需关系日益紧张。总体上来看，能源的供需比长期在供需平衡线以下，且大体上逐年下降，过需消费量逐年增加。具体能源上来看，煤炭、电力等能源供应较为平稳，而石油长期紧缺，天然气经过短暂的充裕之后也进入紧缺状态。</w:t>
      </w:r>
    </w:p>
    <w:p w14:paraId="7A39CE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结论：石油、天然气为不可再生资源，且开采价格远高于进口价格。我国不大范围开采，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既是为了经济发展，实际上</w:t>
      </w: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也是对国家安全的一种保护。</w:t>
      </w:r>
    </w:p>
    <w:p w14:paraId="1308AB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3DB1E7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通过对径向堆叠条形图的分析可以得到：</w:t>
      </w:r>
    </w:p>
    <w:p w14:paraId="77E2EB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由于生产的原煤资源占比过大，陕西、山西、内蒙古在能源生产量上的数值远高于其他地区。同样能得出能源的生产情况具有地域性的结论。</w:t>
      </w:r>
    </w:p>
    <w:p w14:paraId="56FF7DE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</w:p>
    <w:p w14:paraId="77F97F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通过对碳流图的分析可以得到：</w:t>
      </w:r>
    </w:p>
    <w:p w14:paraId="0004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第二产业（工业和建筑业）及火力发电是能源消费最大的两个模块。</w:t>
      </w:r>
    </w:p>
    <w:p w14:paraId="1BE0FB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kern w:val="2"/>
          <w:sz w:val="24"/>
          <w:szCs w:val="24"/>
          <w:lang w:val="en-US" w:eastAsia="zh-CN" w:bidi="ar-SA"/>
        </w:rPr>
        <w:t>充分的利用现代化高科技力量、现代化网络技术，推动工业技术进步，减少工业运转过程中的能耗；对现有的火力发电厂进行技术上的改进，提高其生产效力，使其成为发电量更大、生产效力更高、服务功能更强的低成本、现代化的节能环保型发电厂……这些都是有效减少能源消费的措施。</w:t>
      </w:r>
    </w:p>
    <w:p w14:paraId="2C4CB6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278765</wp:posOffset>
            </wp:positionH>
            <wp:positionV relativeFrom="paragraph">
              <wp:posOffset>46990</wp:posOffset>
            </wp:positionV>
            <wp:extent cx="4792980" cy="2875915"/>
            <wp:effectExtent l="0" t="0" r="0" b="0"/>
            <wp:wrapTight wrapText="bothSides">
              <wp:wrapPolygon>
                <wp:start x="0" y="0"/>
                <wp:lineTo x="0" y="21519"/>
                <wp:lineTo x="21566" y="21519"/>
                <wp:lineTo x="21566" y="0"/>
                <wp:lineTo x="0" y="0"/>
              </wp:wrapPolygon>
            </wp:wrapTight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rcRect l="2594" t="4624" r="3492" b="27517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BD1F7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AndChars" w:linePitch="312" w:charSpace="-48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C8092F"/>
    <w:multiLevelType w:val="singleLevel"/>
    <w:tmpl w:val="C6C8092F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73ABB7E9"/>
    <w:multiLevelType w:val="singleLevel"/>
    <w:tmpl w:val="73ABB7E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HorizontalSpacing w:val="104"/>
  <w:drawingGridVerticalSpacing w:val="156"/>
  <w:displayHorizontalDrawingGridEvery w:val="2"/>
  <w:displayVerticalDrawingGridEvery w:val="2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JhY2UwNzQ0OWJhOTU5YmY3YjM4MWNmOTkxNDYyNGMifQ=="/>
  </w:docVars>
  <w:rsids>
    <w:rsidRoot w:val="00000000"/>
    <w:rsid w:val="02B66A75"/>
    <w:rsid w:val="04C96C73"/>
    <w:rsid w:val="173E0B1E"/>
    <w:rsid w:val="188052D5"/>
    <w:rsid w:val="213C3C27"/>
    <w:rsid w:val="31741D0C"/>
    <w:rsid w:val="35790E31"/>
    <w:rsid w:val="51B47ED4"/>
    <w:rsid w:val="5C020D83"/>
    <w:rsid w:val="65A5761A"/>
    <w:rsid w:val="66867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4860</Words>
  <Characters>5481</Characters>
  <Lines>1</Lines>
  <Paragraphs>1</Paragraphs>
  <TotalTime>27</TotalTime>
  <ScaleCrop>false</ScaleCrop>
  <LinksUpToDate>false</LinksUpToDate>
  <CharactersWithSpaces>5505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2023-11-28T12:01:00Z</dcterms:created>
  <dc:creator>XU</dc:creator>
  <cp:lastModifiedBy>sulawesi02</cp:lastModifiedBy>
  <dcterms:modified xsi:type="dcterms:W3CDTF">2024-07-10T07:01:39Z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3695EC46FEAB471A8793A24507EF9043_13</vt:lpwstr>
  </property>
</Properties>
</file>